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42998A06" w:rsidR="003D7C7D" w:rsidRPr="00557E11" w:rsidRDefault="00557E11" w:rsidP="00557E11">
            <w:pPr>
              <w:pStyle w:val="Default"/>
              <w:rPr>
                <w:color w:val="234061"/>
                <w:sz w:val="18"/>
                <w:szCs w:val="18"/>
              </w:rPr>
            </w:pPr>
            <w:r>
              <w:rPr>
                <w:color w:val="234061"/>
                <w:sz w:val="18"/>
                <w:szCs w:val="18"/>
              </w:rPr>
              <w:t xml:space="preserve">08317570151 </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2CFB726E" w:rsidR="003D7C7D" w:rsidRPr="00557E11" w:rsidRDefault="00557E11" w:rsidP="00557E11">
            <w:pPr>
              <w:pStyle w:val="Default"/>
              <w:rPr>
                <w:color w:val="234061"/>
                <w:sz w:val="18"/>
                <w:szCs w:val="18"/>
              </w:rPr>
            </w:pPr>
            <w:r>
              <w:rPr>
                <w:color w:val="234061"/>
                <w:sz w:val="18"/>
                <w:szCs w:val="18"/>
              </w:rPr>
              <w:t xml:space="preserve">COGESER S.p.A. </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211B121" w:rsidR="003D7C7D" w:rsidRPr="00557E11" w:rsidRDefault="00557E11" w:rsidP="00557E11">
            <w:pPr>
              <w:pStyle w:val="Default"/>
              <w:rPr>
                <w:color w:val="234061"/>
                <w:sz w:val="18"/>
                <w:szCs w:val="18"/>
              </w:rPr>
            </w:pPr>
            <w:r>
              <w:rPr>
                <w:color w:val="234061"/>
                <w:sz w:val="18"/>
                <w:szCs w:val="18"/>
              </w:rPr>
              <w:t xml:space="preserve">1993 </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4CD2BD22" w:rsidR="003D7C7D" w:rsidRPr="00296D79" w:rsidRDefault="00557E11" w:rsidP="00911364">
                <w:pPr>
                  <w:spacing w:after="0" w:line="240" w:lineRule="auto"/>
                  <w:rPr>
                    <w:rFonts w:eastAsia="Calibri" w:cs="Calibri"/>
                    <w:iCs/>
                    <w:color w:val="244062"/>
                    <w:sz w:val="18"/>
                    <w:szCs w:val="18"/>
                  </w:rPr>
                </w:pPr>
                <w:r w:rsidRPr="00557E11">
                  <w:rPr>
                    <w:rFonts w:eastAsia="Calibri" w:cs="Calibri"/>
                    <w:iCs/>
                    <w:color w:val="244062"/>
                    <w:sz w:val="18"/>
                    <w:szCs w:val="18"/>
                  </w:rPr>
                  <w:t>Società per azioni</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03F79ED0" w:rsidR="003D7C7D" w:rsidRPr="00296D79" w:rsidRDefault="00557E11"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484640DD" w:rsidR="003D7C7D" w:rsidRPr="00296D79" w:rsidRDefault="006857B2"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0771295" w:rsidR="003D7C7D" w:rsidRPr="00296D79" w:rsidRDefault="006857B2"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4B497FB2" w:rsidR="003D7C7D" w:rsidRPr="00296D79" w:rsidRDefault="006857B2"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w:t>
            </w:r>
            <w:r w:rsidR="007408EB">
              <w:rPr>
                <w:rFonts w:ascii="Calibri" w:eastAsia="Calibri" w:hAnsi="Calibri" w:cs="Calibri"/>
                <w:iCs/>
                <w:color w:val="244062"/>
                <w:sz w:val="18"/>
                <w:szCs w:val="18"/>
              </w:rPr>
              <w:t>o</w:t>
            </w:r>
            <w:r>
              <w:rPr>
                <w:rFonts w:ascii="Calibri" w:eastAsia="Calibri" w:hAnsi="Calibri" w:cs="Calibri"/>
                <w:iCs/>
                <w:color w:val="244062"/>
                <w:sz w:val="18"/>
                <w:szCs w:val="18"/>
              </w:rPr>
              <w:t xml:space="preserve"> </w:t>
            </w: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1FA73A7B" w:rsidR="000D7844" w:rsidRPr="00296D79" w:rsidRDefault="007408EB"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4D9C319F" w:rsidR="003D7C7D" w:rsidRPr="002A04DA" w:rsidRDefault="00557E11"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6D9A6082" w:rsidR="003D7C7D" w:rsidRPr="002A04DA" w:rsidRDefault="00557E11"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MI</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3FCEC69D" w:rsidR="003D7C7D" w:rsidRPr="002A04DA" w:rsidRDefault="00557E11"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Melzo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13FF486E" w:rsidR="003D7C7D" w:rsidRPr="00E549EB" w:rsidRDefault="00E549EB" w:rsidP="00E549E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20066</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49218ECC" w:rsidR="003D7C7D" w:rsidRPr="00E549EB" w:rsidRDefault="00E549EB" w:rsidP="00E549EB">
            <w:pPr>
              <w:pStyle w:val="Default"/>
              <w:rPr>
                <w:color w:val="234061"/>
                <w:sz w:val="18"/>
                <w:szCs w:val="18"/>
              </w:rPr>
            </w:pPr>
            <w:r>
              <w:rPr>
                <w:color w:val="234061"/>
                <w:sz w:val="18"/>
                <w:szCs w:val="18"/>
              </w:rPr>
              <w:t xml:space="preserve">Via </w:t>
            </w:r>
            <w:proofErr w:type="spellStart"/>
            <w:r>
              <w:rPr>
                <w:color w:val="234061"/>
                <w:sz w:val="18"/>
                <w:szCs w:val="18"/>
              </w:rPr>
              <w:t>Martiri</w:t>
            </w:r>
            <w:proofErr w:type="spellEnd"/>
            <w:r>
              <w:rPr>
                <w:color w:val="234061"/>
                <w:sz w:val="18"/>
                <w:szCs w:val="18"/>
              </w:rPr>
              <w:t xml:space="preserve"> </w:t>
            </w:r>
            <w:proofErr w:type="spellStart"/>
            <w:r>
              <w:rPr>
                <w:color w:val="234061"/>
                <w:sz w:val="18"/>
                <w:szCs w:val="18"/>
              </w:rPr>
              <w:t>della</w:t>
            </w:r>
            <w:proofErr w:type="spellEnd"/>
            <w:r>
              <w:rPr>
                <w:color w:val="234061"/>
                <w:sz w:val="18"/>
                <w:szCs w:val="18"/>
              </w:rPr>
              <w:t xml:space="preserve"> Libertà , 18 </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77777777" w:rsidR="003D7C7D" w:rsidRPr="002A04DA" w:rsidRDefault="003D7C7D" w:rsidP="002A04DA">
            <w:pPr>
              <w:spacing w:after="0" w:line="240" w:lineRule="auto"/>
              <w:rPr>
                <w:rFonts w:ascii="Calibri" w:eastAsia="Calibri" w:hAnsi="Calibri" w:cs="Calibri"/>
                <w:iCs/>
                <w:color w:val="244062"/>
                <w:sz w:val="18"/>
                <w:szCs w:val="18"/>
              </w:rPr>
            </w:pP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6FEAAC24" w:rsidR="003D7C7D" w:rsidRPr="009553EE" w:rsidRDefault="00E549EB" w:rsidP="009553EE">
            <w:pPr>
              <w:spacing w:after="0" w:line="256" w:lineRule="auto"/>
              <w:rPr>
                <w:rFonts w:eastAsia="Calibri" w:cs="Calibri"/>
                <w:iCs/>
                <w:color w:val="244062"/>
                <w:sz w:val="18"/>
                <w:szCs w:val="18"/>
              </w:rPr>
            </w:pPr>
            <w:r w:rsidRPr="00E549EB">
              <w:rPr>
                <w:rFonts w:eastAsia="Calibri" w:cs="Calibri"/>
                <w:iCs/>
                <w:color w:val="244062"/>
                <w:sz w:val="18"/>
                <w:szCs w:val="18"/>
              </w:rPr>
              <w:t>35.22.00 – distribuzione di combustibili gassosi mediante condotte.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0412198C" w:rsidR="003D7C7D" w:rsidRPr="009553EE" w:rsidRDefault="00E549EB" w:rsidP="009553EE">
            <w:pPr>
              <w:spacing w:after="0" w:line="256" w:lineRule="auto"/>
              <w:rPr>
                <w:rFonts w:eastAsia="Calibri" w:cs="Calibri"/>
                <w:iCs/>
                <w:color w:val="244062"/>
                <w:sz w:val="18"/>
                <w:szCs w:val="18"/>
              </w:rPr>
            </w:pPr>
            <w:r w:rsidRPr="00E549EB">
              <w:rPr>
                <w:rFonts w:eastAsia="Calibri" w:cs="Calibri"/>
                <w:iCs/>
                <w:color w:val="244062"/>
                <w:sz w:val="18"/>
                <w:szCs w:val="18"/>
              </w:rPr>
              <w:t>43.22.01 – i</w:t>
            </w:r>
            <w:r>
              <w:rPr>
                <w:rFonts w:eastAsia="Calibri" w:cs="Calibri"/>
                <w:iCs/>
                <w:color w:val="244062"/>
                <w:sz w:val="18"/>
                <w:szCs w:val="18"/>
              </w:rPr>
              <w:t>n</w:t>
            </w:r>
            <w:r w:rsidRPr="00E549EB">
              <w:rPr>
                <w:rFonts w:eastAsia="Calibri" w:cs="Calibri"/>
                <w:iCs/>
                <w:color w:val="244062"/>
                <w:sz w:val="18"/>
                <w:szCs w:val="18"/>
              </w:rPr>
              <w:t>stallazione di impianti idraulici, di riscaldamento e di condizionamento.</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6F1B2E68" w:rsidR="003D7C7D" w:rsidRPr="009553EE" w:rsidRDefault="00A62386" w:rsidP="009553EE">
            <w:pPr>
              <w:spacing w:after="0" w:line="256" w:lineRule="auto"/>
              <w:rPr>
                <w:rFonts w:eastAsia="Calibri" w:cs="Calibri"/>
                <w:iCs/>
                <w:color w:val="244062"/>
                <w:sz w:val="18"/>
                <w:szCs w:val="18"/>
              </w:rPr>
            </w:pPr>
            <w:r w:rsidRPr="00A62386">
              <w:rPr>
                <w:rFonts w:eastAsia="Calibri" w:cs="Calibri"/>
                <w:iCs/>
                <w:color w:val="244062"/>
                <w:sz w:val="18"/>
                <w:szCs w:val="18"/>
              </w:rPr>
              <w:t>43.22.02 – i</w:t>
            </w:r>
            <w:r>
              <w:rPr>
                <w:rFonts w:eastAsia="Calibri" w:cs="Calibri"/>
                <w:iCs/>
                <w:color w:val="244062"/>
                <w:sz w:val="18"/>
                <w:szCs w:val="18"/>
              </w:rPr>
              <w:t>n</w:t>
            </w:r>
            <w:r w:rsidRPr="00A62386">
              <w:rPr>
                <w:rFonts w:eastAsia="Calibri" w:cs="Calibri"/>
                <w:iCs/>
                <w:color w:val="244062"/>
                <w:sz w:val="18"/>
                <w:szCs w:val="18"/>
              </w:rPr>
              <w:t>stallazione di impianti per la distribuzione del gas (inclusa manutenzione e riparazione.</w:t>
            </w: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954DC2D" w14:textId="00D03835" w:rsidR="003D7C7D" w:rsidRPr="009553EE" w:rsidRDefault="00100A90" w:rsidP="00A62386">
      <w:pPr>
        <w:rPr>
          <w:rFonts w:eastAsia="MS Mincho" w:cs="Calibri"/>
          <w:b/>
          <w:bCs/>
          <w:color w:val="FFFFFF"/>
          <w:sz w:val="18"/>
          <w:szCs w:val="24"/>
          <w:lang w:eastAsia="ja-JP"/>
        </w:rPr>
      </w:pPr>
      <w:r>
        <w:rPr>
          <w:rFonts w:ascii="Calibri" w:eastAsia="Calibri" w:hAnsi="Calibri" w:cs="Times New Roman"/>
          <w:b/>
          <w:color w:val="C00000"/>
          <w:u w:val="single"/>
        </w:rPr>
        <w:br w:type="page"/>
      </w:r>
      <w:r w:rsidR="003D7C7D"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04A0CBC7" w:rsidR="003D7C7D" w:rsidRPr="009553EE" w:rsidRDefault="008F1ABF" w:rsidP="009553EE">
            <w:pPr>
              <w:spacing w:after="0" w:line="256" w:lineRule="auto"/>
              <w:rPr>
                <w:rFonts w:eastAsia="Calibri" w:cs="Calibri"/>
                <w:iCs/>
                <w:color w:val="244062"/>
                <w:sz w:val="18"/>
                <w:szCs w:val="18"/>
              </w:rPr>
            </w:pPr>
            <w:r w:rsidRPr="008F1ABF">
              <w:rPr>
                <w:rFonts w:eastAsia="Calibri" w:cs="Calibri"/>
                <w:iCs/>
                <w:color w:val="244062"/>
                <w:sz w:val="18"/>
                <w:szCs w:val="18"/>
              </w:rPr>
              <w:t>58</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1639CE16" w:rsidR="003D7C7D" w:rsidRPr="009553EE" w:rsidRDefault="008F1ABF"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244696FD" w:rsidR="003D7C7D" w:rsidRPr="009553EE" w:rsidRDefault="008F1ABF"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5B68B72" w:rsidR="003D7C7D" w:rsidRPr="009553EE" w:rsidRDefault="008F1ABF"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45AD681"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415.604</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243A2D0B"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47.319.469</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3E1A6179"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1.163.507</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0162C3FC"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48.898.580</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09E745B5"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6.418.228</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5C9AC86D"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67.189.734</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343339EF" w:rsidR="003D7C7D" w:rsidRPr="00E553F4" w:rsidRDefault="008F1ABF" w:rsidP="00E553F4">
            <w:pPr>
              <w:spacing w:after="0" w:line="256" w:lineRule="auto"/>
              <w:rPr>
                <w:rFonts w:eastAsia="Calibri" w:cs="Calibri"/>
                <w:i/>
                <w:iCs/>
                <w:color w:val="244062"/>
                <w:sz w:val="18"/>
                <w:szCs w:val="18"/>
              </w:rPr>
            </w:pPr>
            <w:r w:rsidRPr="008F1ABF">
              <w:rPr>
                <w:rFonts w:eastAsia="Calibri" w:cs="Calibri"/>
                <w:i/>
                <w:iCs/>
                <w:color w:val="244062"/>
                <w:sz w:val="18"/>
                <w:szCs w:val="18"/>
              </w:rPr>
              <w:t>5.860.319</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61DC6ED2"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30.173.938</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53C3C017"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215.013</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08E86293"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2.537.137</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561A47C4" w:rsidR="003725AB" w:rsidRPr="00E553F4" w:rsidRDefault="008F1A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5748D882"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38.786.408</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3B11C730"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26.320.937</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3F899758"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67.189.734</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08CB5014"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10.018.278</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076D89F2"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7.886.517</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21027C83"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183.718</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A2D942B" w:rsidR="003D7C7D" w:rsidRPr="00E553F4" w:rsidRDefault="008F1A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2AA53903"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10.584.148</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5BB60477"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2.848.512</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0BB2CFCC"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3.100.000</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3A6DA162" w:rsidR="003D7C7D" w:rsidRPr="00E553F4" w:rsidRDefault="008F1ABF" w:rsidP="00E553F4">
            <w:pPr>
              <w:spacing w:after="0" w:line="256" w:lineRule="auto"/>
              <w:rPr>
                <w:rFonts w:eastAsia="Calibri" w:cs="Calibri"/>
                <w:iCs/>
                <w:color w:val="244062"/>
                <w:sz w:val="18"/>
                <w:szCs w:val="18"/>
              </w:rPr>
            </w:pPr>
            <w:r w:rsidRPr="008F1ABF">
              <w:rPr>
                <w:rFonts w:eastAsia="Calibri" w:cs="Calibri"/>
                <w:iCs/>
                <w:color w:val="244062"/>
                <w:sz w:val="18"/>
                <w:szCs w:val="18"/>
              </w:rPr>
              <w:t>49.101</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3233737" w:rsidR="0012498B" w:rsidRPr="00E553F4" w:rsidRDefault="008F1ABF" w:rsidP="0012498B">
            <w:pPr>
              <w:spacing w:after="0" w:line="256" w:lineRule="auto"/>
              <w:rPr>
                <w:rFonts w:eastAsia="Calibri" w:cs="Calibri"/>
                <w:iCs/>
                <w:color w:val="244062"/>
                <w:sz w:val="18"/>
                <w:szCs w:val="18"/>
              </w:rPr>
            </w:pPr>
            <w:r w:rsidRPr="008F1ABF">
              <w:rPr>
                <w:rFonts w:eastAsia="Calibri" w:cs="Calibri"/>
                <w:iCs/>
                <w:color w:val="244062"/>
                <w:sz w:val="18"/>
                <w:szCs w:val="18"/>
              </w:rPr>
              <w:t>296.340</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4909EB1B" w:rsidR="003D7C7D" w:rsidRPr="00E553F4" w:rsidRDefault="008F1ABF"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92B9E3D" w:rsidR="0012498B" w:rsidRPr="00E553F4" w:rsidRDefault="008F1ABF" w:rsidP="0012498B">
            <w:pPr>
              <w:spacing w:after="0" w:line="256" w:lineRule="auto"/>
              <w:rPr>
                <w:rFonts w:eastAsia="Calibri" w:cs="Calibri"/>
                <w:iCs/>
                <w:color w:val="244062"/>
                <w:sz w:val="18"/>
                <w:szCs w:val="18"/>
              </w:rPr>
            </w:pPr>
            <w:r w:rsidRPr="008F1ABF">
              <w:rPr>
                <w:rFonts w:eastAsia="Calibri" w:cs="Calibri"/>
                <w:iCs/>
                <w:color w:val="244062"/>
                <w:sz w:val="18"/>
                <w:szCs w:val="18"/>
              </w:rPr>
              <w:t>2.852.761</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7331B861" w:rsidR="0012498B" w:rsidRPr="00E553F4" w:rsidRDefault="008F1ABF" w:rsidP="0012498B">
            <w:pPr>
              <w:spacing w:after="0" w:line="256" w:lineRule="auto"/>
              <w:rPr>
                <w:rFonts w:eastAsia="Calibri" w:cs="Calibri"/>
                <w:iCs/>
                <w:color w:val="244062"/>
                <w:sz w:val="18"/>
                <w:szCs w:val="18"/>
              </w:rPr>
            </w:pPr>
            <w:r w:rsidRPr="008F1ABF">
              <w:rPr>
                <w:rFonts w:eastAsia="Calibri" w:cs="Calibri"/>
                <w:iCs/>
                <w:color w:val="244062"/>
                <w:sz w:val="18"/>
                <w:szCs w:val="18"/>
              </w:rPr>
              <w:t>118.504</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557B670F" w:rsidR="00AF693D" w:rsidRPr="00E553F4" w:rsidRDefault="008F1ABF"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25E2EE79" w:rsidR="003D7C7D" w:rsidRPr="00E553F4" w:rsidRDefault="00A62386"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15845111" w:rsidR="003D7C7D" w:rsidRPr="00E553F4" w:rsidRDefault="00A62386" w:rsidP="00A62386">
            <w:pPr>
              <w:spacing w:after="0" w:line="360" w:lineRule="auto"/>
              <w:rPr>
                <w:rFonts w:eastAsia="Calibri" w:cs="Calibri"/>
                <w:iCs/>
                <w:color w:val="244062"/>
                <w:sz w:val="18"/>
                <w:szCs w:val="18"/>
              </w:rPr>
            </w:pPr>
            <w:r>
              <w:rPr>
                <w:rFonts w:eastAsia="Calibri" w:cs="Calibri"/>
                <w:iCs/>
                <w:color w:val="244062"/>
                <w:sz w:val="18"/>
                <w:szCs w:val="18"/>
              </w:rPr>
              <w:t>7,11%</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39245889" w:rsidR="003D7C7D" w:rsidRPr="00E553F4" w:rsidRDefault="00A62386" w:rsidP="00E553F4">
                <w:pPr>
                  <w:spacing w:after="0" w:line="256" w:lineRule="auto"/>
                  <w:rPr>
                    <w:rFonts w:eastAsia="Calibri" w:cs="Calibri"/>
                    <w:iCs/>
                    <w:color w:val="244062"/>
                    <w:sz w:val="18"/>
                    <w:szCs w:val="18"/>
                  </w:rPr>
                </w:pPr>
                <w:r>
                  <w:rPr>
                    <w:rFonts w:eastAsia="Calibri" w:cs="Calibri"/>
                    <w:iCs/>
                    <w:color w:val="244062"/>
                    <w:sz w:val="18"/>
                    <w:szCs w:val="18"/>
                  </w:rPr>
                  <w:t>controllo congiunto - maggioranza dei voti esercitabili nell'assemblea ordinaria ed effettivo esercizio del potere di controllo anche tramite comportamenti concludenti</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lastRenderedPageBreak/>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5743C042" w:rsidR="003D7C7D" w:rsidRPr="00E553F4" w:rsidRDefault="008F1ABF"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lastRenderedPageBreak/>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6642"/>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57E1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57B2"/>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08EB"/>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2B8"/>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6ECB"/>
    <w:rsid w:val="008C7139"/>
    <w:rsid w:val="008D1150"/>
    <w:rsid w:val="008D60E8"/>
    <w:rsid w:val="008E4620"/>
    <w:rsid w:val="008E4CE1"/>
    <w:rsid w:val="008F1ABF"/>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00C1"/>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2386"/>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5C2"/>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49E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7B42B8"/>
    <w:rsid w:val="00814CC7"/>
    <w:rsid w:val="008E6CD0"/>
    <w:rsid w:val="009063A2"/>
    <w:rsid w:val="009D7FA6"/>
    <w:rsid w:val="009F77C2"/>
    <w:rsid w:val="00AE05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2000</Words>
  <Characters>11400</Characters>
  <Application>Microsoft Office Word</Application>
  <DocSecurity>0</DocSecurity>
  <Lines>95</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20</cp:revision>
  <cp:lastPrinted>2022-11-03T08:48:00Z</cp:lastPrinted>
  <dcterms:created xsi:type="dcterms:W3CDTF">2024-10-28T10:35:00Z</dcterms:created>
  <dcterms:modified xsi:type="dcterms:W3CDTF">2024-12-12T13:25:00Z</dcterms:modified>
</cp:coreProperties>
</file>