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55600D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3CBDA3F7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04146750965 </w:t>
            </w:r>
          </w:p>
        </w:tc>
      </w:tr>
      <w:tr w:rsidR="0055600D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5248207B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FAR.COM </w:t>
            </w:r>
          </w:p>
        </w:tc>
      </w:tr>
      <w:tr w:rsidR="0055600D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4130226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03/12/2003 </w:t>
            </w:r>
          </w:p>
        </w:tc>
      </w:tr>
      <w:tr w:rsidR="0055600D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1A6382B2" w:rsidR="0055600D" w:rsidRPr="00535A09" w:rsidRDefault="0055600D" w:rsidP="0055600D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55600D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7DF1C64A" w:rsidR="0055600D" w:rsidRPr="00535A09" w:rsidRDefault="0055600D" w:rsidP="0055600D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5600D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4B13A04A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600D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6378E7DC" w:rsidR="0055600D" w:rsidRPr="00535A09" w:rsidRDefault="0055600D" w:rsidP="0055600D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55600D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600D" w:rsidRPr="00A37C18" w14:paraId="1A433AEA" w14:textId="77777777" w:rsidTr="00FD54ED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35946DC0" w14:textId="3063C9A6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  <w:tr w:rsidR="0055600D" w:rsidRPr="00A37C18" w14:paraId="7C6604D5" w14:textId="77777777" w:rsidTr="00FD54ED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B93490C" w14:textId="7F3BC044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  <w:tr w:rsidR="0055600D" w:rsidRPr="00A37C18" w14:paraId="7C5A4398" w14:textId="77777777" w:rsidTr="00FD54ED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55600D" w:rsidRPr="000E7B2F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D2A570D" w14:textId="324BDE2D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  <w:tr w:rsidR="0055600D" w:rsidRPr="00A37C18" w14:paraId="29F3C9D6" w14:textId="77777777" w:rsidTr="00FD54ED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55600D" w:rsidRPr="000E7B2F" w:rsidRDefault="0055600D" w:rsidP="0055600D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E951FDA" w14:textId="78A7723B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55600D" w:rsidRPr="00A37C18" w14:paraId="4BF85D8C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4C087BB9" w:rsidR="0055600D" w:rsidRPr="00535A09" w:rsidRDefault="0055600D" w:rsidP="0055600D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55600D" w:rsidRPr="00A37C18" w14:paraId="349B2E27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7C7F535A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MI </w:t>
            </w:r>
          </w:p>
        </w:tc>
      </w:tr>
      <w:tr w:rsidR="0055600D" w:rsidRPr="00A37C18" w14:paraId="4E5FDF0F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3BAD9A28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Pioltello</w:t>
            </w:r>
          </w:p>
        </w:tc>
      </w:tr>
      <w:tr w:rsidR="0055600D" w:rsidRPr="00A37C18" w14:paraId="166E890E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0DFFD11E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20096 </w:t>
            </w:r>
          </w:p>
        </w:tc>
      </w:tr>
      <w:tr w:rsidR="0055600D" w:rsidRPr="00A37C18" w14:paraId="032A864B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2A06248C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Don Civilini 1</w:t>
            </w:r>
          </w:p>
        </w:tc>
      </w:tr>
      <w:tr w:rsidR="0055600D" w:rsidRPr="00A37C18" w14:paraId="27ED07CF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48B4CEA0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02 9550302 </w:t>
            </w:r>
          </w:p>
        </w:tc>
      </w:tr>
      <w:tr w:rsidR="0055600D" w:rsidRPr="00A37C18" w14:paraId="18EB2D45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DF8482" w14:textId="5B6799B4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02 9551302 </w:t>
            </w:r>
          </w:p>
        </w:tc>
      </w:tr>
      <w:tr w:rsidR="0055600D" w:rsidRPr="00A37C18" w14:paraId="6145B5B4" w14:textId="77777777" w:rsidTr="00E45385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55600D" w:rsidRPr="00535A09" w:rsidRDefault="0055600D" w:rsidP="0055600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2602CA" w14:textId="30807678" w:rsidR="0055600D" w:rsidRPr="00535A09" w:rsidRDefault="0055600D" w:rsidP="0055600D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info@farcom.it 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69346822" w:rsidR="0040127A" w:rsidRPr="0055600D" w:rsidRDefault="0055600D" w:rsidP="0055600D">
            <w:pPr>
              <w:pStyle w:val="Default"/>
              <w:spacing w:line="256" w:lineRule="auto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>47.73.1 - Farmacie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7FC2E0D4" w:rsidR="0040127A" w:rsidRPr="00305928" w:rsidRDefault="0055600D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6E29B066" w:rsidR="0040127A" w:rsidRPr="0030592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4DBABAF7" w:rsidR="0040127A" w:rsidRPr="00305928" w:rsidRDefault="0055600D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DB991AB" w:rsidR="0040127A" w:rsidRPr="00305928" w:rsidRDefault="0055600D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201308E2" w:rsidR="00A93B10" w:rsidRPr="0030592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155AE0FB" w:rsidR="0040127A" w:rsidRPr="00305928" w:rsidRDefault="002516A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7068D0AB" w:rsidR="0040127A" w:rsidRPr="00305928" w:rsidRDefault="002516A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1ABFF9AB" w:rsidR="0040127A" w:rsidRPr="00BB3F9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7119DFD" w:rsidR="0040127A" w:rsidRPr="00BB3F98" w:rsidRDefault="008A39E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68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5F64DDEE" w:rsidR="0040127A" w:rsidRPr="00BB3F98" w:rsidRDefault="0076709C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431A496D" w:rsidR="0040127A" w:rsidRPr="00BB3F98" w:rsidRDefault="0055600D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5600D">
              <w:rPr>
                <w:rFonts w:ascii="Calibri" w:hAnsi="Calibri" w:cs="Calibri"/>
                <w:color w:val="244062"/>
                <w:sz w:val="18"/>
                <w:szCs w:val="18"/>
              </w:rPr>
              <w:t>23.200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3BA2E07B" w:rsidR="0040127A" w:rsidRPr="00BB3F98" w:rsidRDefault="0076709C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1D44A227" w:rsidR="0040127A" w:rsidRPr="00BB3F98" w:rsidRDefault="0055600D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5600D">
              <w:rPr>
                <w:rFonts w:ascii="Calibri" w:hAnsi="Calibri" w:cs="Calibri"/>
                <w:color w:val="244062"/>
                <w:sz w:val="18"/>
                <w:szCs w:val="18"/>
              </w:rPr>
              <w:t>5.500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2F441577" w:rsidR="0040127A" w:rsidRPr="00BB3F9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58B11685" w:rsidR="0040127A" w:rsidRPr="00BB3F9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21ED506D" w:rsidR="0040127A" w:rsidRPr="00BB3F9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4B1C4229" w:rsidR="0040127A" w:rsidRPr="00BB3F9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57764CEA" w:rsidR="0040127A" w:rsidRPr="00BB3F98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32A8970D" w:rsidR="0040127A" w:rsidRPr="00BB3F98" w:rsidRDefault="0055600D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55600D">
              <w:rPr>
                <w:rFonts w:ascii="Calibri" w:hAnsi="Calibri" w:cs="Calibri"/>
                <w:color w:val="244062"/>
                <w:sz w:val="18"/>
                <w:szCs w:val="18"/>
              </w:rPr>
              <w:t>81.400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761047DA" w:rsidR="0040127A" w:rsidRPr="0055600D" w:rsidRDefault="0055600D" w:rsidP="0055600D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62.512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76159075" w:rsidR="0040127A" w:rsidRPr="0055600D" w:rsidRDefault="0055600D" w:rsidP="0055600D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66.441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265A68D3" w:rsidR="0040127A" w:rsidRPr="0055600D" w:rsidRDefault="0055600D" w:rsidP="0055600D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66.884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6D7D62C6" w:rsidR="0040127A" w:rsidRPr="0055600D" w:rsidRDefault="0055600D" w:rsidP="0055600D">
            <w:pPr>
              <w:pStyle w:val="Default"/>
              <w:rPr>
                <w:color w:val="234061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51.723 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68BD2DEB" w:rsidR="0040127A" w:rsidRPr="0052060B" w:rsidRDefault="0055600D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55600D">
              <w:rPr>
                <w:sz w:val="18"/>
                <w:szCs w:val="18"/>
              </w:rPr>
              <w:t>19.425.808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6EEFEF4A" w:rsidR="0040127A" w:rsidRPr="0052060B" w:rsidRDefault="0055600D" w:rsidP="005560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18.665.476 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22DF649A" w:rsidR="0040127A" w:rsidRPr="0052060B" w:rsidRDefault="0055600D" w:rsidP="005560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15.904.063 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2BDB2D03" w:rsidR="0040127A" w:rsidRPr="0052060B" w:rsidRDefault="0055600D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55600D">
              <w:rPr>
                <w:sz w:val="18"/>
                <w:szCs w:val="18"/>
              </w:rPr>
              <w:t>684.384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56E7F58F" w:rsidR="0040127A" w:rsidRPr="0052060B" w:rsidRDefault="0055600D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55600D">
              <w:rPr>
                <w:sz w:val="18"/>
                <w:szCs w:val="18"/>
              </w:rPr>
              <w:t>487.507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676E80F3" w:rsidR="0040127A" w:rsidRPr="0052060B" w:rsidRDefault="0055600D" w:rsidP="005560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412.955 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D2D17A2" w:rsidR="0040127A" w:rsidRPr="0052060B" w:rsidRDefault="0055600D" w:rsidP="009442F4">
            <w:pPr>
              <w:spacing w:after="0" w:line="240" w:lineRule="auto"/>
              <w:rPr>
                <w:sz w:val="18"/>
                <w:szCs w:val="18"/>
              </w:rPr>
            </w:pPr>
            <w:r w:rsidRPr="0055600D">
              <w:rPr>
                <w:sz w:val="18"/>
                <w:szCs w:val="18"/>
              </w:rPr>
              <w:t>14.880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90A40A9" w:rsidR="0040127A" w:rsidRPr="0052060B" w:rsidRDefault="0055600D" w:rsidP="005560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4.168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46B7CFFC" w:rsidR="0040127A" w:rsidRPr="0052060B" w:rsidRDefault="0055600D" w:rsidP="005560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15.375 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31B25CBD" w:rsidR="0040127A" w:rsidRPr="00771AEF" w:rsidRDefault="005560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1056F650" w:rsidR="0040127A" w:rsidRPr="00771AEF" w:rsidRDefault="0055600D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4,91%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303B2901" w:rsidR="005307C8" w:rsidRDefault="0055600D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7BD1383D" w:rsidR="0040127A" w:rsidRPr="00771AEF" w:rsidRDefault="0055600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2DDEF2C7" w:rsidR="00F451D0" w:rsidRDefault="0055600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581FF177" w:rsidR="0040127A" w:rsidRPr="00771AEF" w:rsidRDefault="00465E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175B99C9" w:rsidR="0040127A" w:rsidRPr="00771AEF" w:rsidRDefault="00465E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465ED0">
              <w:rPr>
                <w:rFonts w:ascii="Calibri" w:hAnsi="Calibri" w:cs="Calibri"/>
                <w:bCs/>
                <w:color w:val="244062"/>
                <w:sz w:val="18"/>
                <w:szCs w:val="18"/>
              </w:rPr>
              <w:t>La società si occupa dell’attività farmaceutica.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38BEB791" w:rsidR="0040127A" w:rsidRPr="00771AEF" w:rsidRDefault="00465E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7C644DEA" w:rsidR="0040127A" w:rsidRPr="00771AEF" w:rsidRDefault="00465E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4906873A" w:rsidR="0040127A" w:rsidRPr="00771AEF" w:rsidRDefault="00465E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03C00F0A" w:rsidR="0040127A" w:rsidRPr="00771AEF" w:rsidRDefault="00465ED0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663381C7" w:rsidR="0040127A" w:rsidRPr="00771AEF" w:rsidRDefault="00465ED0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349A"/>
    <w:rsid w:val="000B4841"/>
    <w:rsid w:val="000C6D8D"/>
    <w:rsid w:val="000D54C8"/>
    <w:rsid w:val="000F6057"/>
    <w:rsid w:val="000F72E2"/>
    <w:rsid w:val="00101114"/>
    <w:rsid w:val="00106733"/>
    <w:rsid w:val="0011129F"/>
    <w:rsid w:val="001141B8"/>
    <w:rsid w:val="00117425"/>
    <w:rsid w:val="00120A46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516A0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5ED0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5600D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2F9B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09C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906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39E1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5C2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44C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349A"/>
    <w:rsid w:val="000B7499"/>
    <w:rsid w:val="000C205C"/>
    <w:rsid w:val="000F72E2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E05C2"/>
    <w:rsid w:val="00AF3792"/>
    <w:rsid w:val="00B25D2C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25D2C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2110</Words>
  <Characters>12027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10</cp:revision>
  <cp:lastPrinted>2020-11-25T13:57:00Z</cp:lastPrinted>
  <dcterms:created xsi:type="dcterms:W3CDTF">2024-10-30T13:19:00Z</dcterms:created>
  <dcterms:modified xsi:type="dcterms:W3CDTF">2024-12-12T13:35:00Z</dcterms:modified>
</cp:coreProperties>
</file>