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E6754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5165905A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05941460965</w:t>
            </w:r>
          </w:p>
        </w:tc>
      </w:tr>
      <w:tr w:rsidR="00EE6754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05FB153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COGESER Energia S.r.l.</w:t>
            </w:r>
          </w:p>
        </w:tc>
      </w:tr>
      <w:tr w:rsidR="00EE6754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22294D2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EE6754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5BFEA179" w:rsidR="00EE6754" w:rsidRPr="00535A09" w:rsidRDefault="00EE6754" w:rsidP="00EE675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EE6754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67D9605D" w:rsidR="00EE6754" w:rsidRPr="00535A09" w:rsidRDefault="00EE6754" w:rsidP="00EE675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EE6754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E6754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47E6293" w:rsidR="00EE6754" w:rsidRPr="00535A09" w:rsidRDefault="00EE6754" w:rsidP="00EE675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EE6754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E6754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CB370EC" w:rsidR="00EE6754" w:rsidRPr="00535A09" w:rsidRDefault="00712329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E6754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617674E9" w:rsidR="00EE6754" w:rsidRPr="00535A09" w:rsidRDefault="00712329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E6754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EE6754" w:rsidRPr="000E7B2F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2421AF01" w:rsidR="00EE6754" w:rsidRPr="00535A09" w:rsidRDefault="00712329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</w:t>
            </w:r>
            <w:r w:rsidR="00EE675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  <w:tr w:rsidR="00EE6754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EE6754" w:rsidRPr="000E7B2F" w:rsidRDefault="00EE6754" w:rsidP="00EE675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6C2CB4E9" w:rsidR="00EE6754" w:rsidRPr="00535A09" w:rsidRDefault="00EE6754" w:rsidP="00EE675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E6754" w:rsidRPr="00A37C18" w14:paraId="4BF85D8C" w14:textId="77777777" w:rsidTr="0021258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2E7334BA" w:rsidR="00EE6754" w:rsidRPr="00535A09" w:rsidRDefault="00EE6754" w:rsidP="00EE675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E6754" w:rsidRPr="00A37C18" w14:paraId="349B2E27" w14:textId="77777777" w:rsidTr="0021258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14BA8848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EE6754" w:rsidRPr="00A37C18" w14:paraId="4E5FDF0F" w14:textId="77777777" w:rsidTr="0021258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530AFB49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EE6754" w:rsidRPr="00A37C18" w14:paraId="166E890E" w14:textId="77777777" w:rsidTr="0021258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67570425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EE6754" w:rsidRPr="00A37C18" w14:paraId="032A864B" w14:textId="77777777" w:rsidTr="0021258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EE6754" w:rsidRPr="00535A0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1046FD79" w:rsidR="00EE6754" w:rsidRPr="00535A09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Martiri della Libertà, 18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E6754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EE6754" w:rsidRPr="00E9269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75947023" w:rsidR="00EE6754" w:rsidRPr="00A37C18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352300 – commercio di gas distribuito mediante condotte</w:t>
            </w:r>
          </w:p>
        </w:tc>
      </w:tr>
      <w:tr w:rsidR="00EE6754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EE6754" w:rsidRPr="00E9269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5A9ED511" w:rsidR="00EE6754" w:rsidRPr="00A37C18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351400 – commercio energia elettrica</w:t>
            </w:r>
          </w:p>
        </w:tc>
      </w:tr>
      <w:tr w:rsidR="00EE6754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EE6754" w:rsidRPr="00E9269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1A60CBD0" w:rsidR="00EE6754" w:rsidRPr="00A37C18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422000 - costruzione di edifici residenziali e non residenziali</w:t>
            </w:r>
          </w:p>
        </w:tc>
      </w:tr>
      <w:tr w:rsidR="00EE6754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EE6754" w:rsidRPr="00E92699" w:rsidRDefault="00EE6754" w:rsidP="00EE6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0E77ADDA" w:rsidR="00EE6754" w:rsidRPr="00A37C18" w:rsidRDefault="00EE6754" w:rsidP="00EE675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432101 - installazione di impianti elettrici in edifici o in altre costruzioni (inclusa manutenzione e riparazione)</w:t>
            </w: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00729E35" w:rsidR="0040127A" w:rsidRPr="00305928" w:rsidRDefault="00EE6754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5CE3B6C3" w:rsidR="0040127A" w:rsidRPr="0030592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DD339EE" w:rsidR="0040127A" w:rsidRPr="00305928" w:rsidRDefault="00EE6754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7D82E716" w:rsidR="00A93B10" w:rsidRPr="0030592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65D67CAF" w:rsidR="00A93B10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1A1C3FC6" w:rsidR="0040127A" w:rsidRPr="0030592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2703D3E" w:rsidR="0040127A" w:rsidRPr="0030592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2FA8E1FE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0EC4BA9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041F3C95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4CEF05FE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E6754">
              <w:rPr>
                <w:rFonts w:ascii="Calibri" w:hAnsi="Calibri" w:cs="Calibri"/>
                <w:color w:val="244062"/>
                <w:sz w:val="18"/>
                <w:szCs w:val="18"/>
              </w:rPr>
              <w:t>18.720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D63DDB9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3EE9808D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10.400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47378C3F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2441A7B5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D3A5222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1F2BF840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3A50FA6E" w:rsidR="0040127A" w:rsidRPr="00BB3F98" w:rsidRDefault="00EE6754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6D5A1C84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E6754">
              <w:rPr>
                <w:rFonts w:ascii="Calibri" w:hAnsi="Calibri" w:cs="Calibri"/>
                <w:color w:val="244062"/>
                <w:sz w:val="18"/>
                <w:szCs w:val="18"/>
              </w:rPr>
              <w:t>3.277.448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24B07CAB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E6754">
              <w:rPr>
                <w:rFonts w:ascii="Calibri" w:hAnsi="Calibri" w:cs="Calibri"/>
                <w:color w:val="244062"/>
                <w:sz w:val="18"/>
                <w:szCs w:val="18"/>
              </w:rPr>
              <w:t>3.100.884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55059CEE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E6754">
              <w:rPr>
                <w:rFonts w:ascii="Calibri" w:hAnsi="Calibri" w:cs="Calibri"/>
                <w:color w:val="244062"/>
                <w:sz w:val="18"/>
                <w:szCs w:val="18"/>
              </w:rPr>
              <w:t>2.436.752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752134E3" w:rsidR="0040127A" w:rsidRPr="00EE6754" w:rsidRDefault="00EE6754" w:rsidP="00EE6754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1.734.641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3BE05E5C" w:rsidR="0040127A" w:rsidRPr="00BB3F98" w:rsidRDefault="00EE6754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E6754">
              <w:rPr>
                <w:rFonts w:ascii="Calibri" w:hAnsi="Calibri" w:cs="Calibri"/>
                <w:color w:val="244062"/>
                <w:sz w:val="18"/>
                <w:szCs w:val="18"/>
              </w:rPr>
              <w:t>1.380.494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537C89EC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52.734.646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78F1F831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81.577.284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5267910C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48.793.412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398CADD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521.755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35D9B692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562.813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42BB4ECF" w:rsidR="0040127A" w:rsidRPr="0052060B" w:rsidRDefault="00EE6754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EE6754">
              <w:rPr>
                <w:sz w:val="18"/>
                <w:szCs w:val="18"/>
              </w:rPr>
              <w:t>206.628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B23D8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B23D8A" w:rsidRPr="00771AEF" w:rsidRDefault="00B23D8A" w:rsidP="00B23D8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36246518"/>
            <w:placeholder>
              <w:docPart w:val="CC4AB5B353224F64B834830A4FA46B6E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26C46B73" w:rsidR="00B23D8A" w:rsidRPr="00771AEF" w:rsidRDefault="00B23D8A" w:rsidP="00B23D8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B23D8A" w:rsidRPr="0007106C" w14:paraId="4AC1026B" w14:textId="77777777" w:rsidTr="001E0275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B23D8A" w:rsidRPr="00771AEF" w:rsidRDefault="00B23D8A" w:rsidP="00B23D8A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1B93F5F" w14:textId="77777777" w:rsidR="00B23D8A" w:rsidRPr="00771AEF" w:rsidRDefault="00B23D8A" w:rsidP="00B23D8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23D8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B23D8A" w:rsidRPr="00771AEF" w:rsidRDefault="00B23D8A" w:rsidP="00B23D8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1C260C0B" w:rsidR="00B23D8A" w:rsidRPr="00771AEF" w:rsidRDefault="00B23D8A" w:rsidP="00B23D8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08317570151</w:t>
            </w:r>
          </w:p>
        </w:tc>
      </w:tr>
      <w:tr w:rsidR="00B23D8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B23D8A" w:rsidRPr="00771AEF" w:rsidRDefault="00B23D8A" w:rsidP="00B23D8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AA8B40C" w:rsidR="00B23D8A" w:rsidRPr="00771AEF" w:rsidRDefault="00B23D8A" w:rsidP="00B23D8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COGESER S.p.A.</w:t>
            </w:r>
          </w:p>
        </w:tc>
      </w:tr>
      <w:tr w:rsidR="00B23D8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B23D8A" w:rsidRPr="00771AEF" w:rsidRDefault="00B23D8A" w:rsidP="00B23D8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35101716" w:rsidR="00B23D8A" w:rsidRPr="00771AEF" w:rsidRDefault="00B23D8A" w:rsidP="00B23D8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100%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4FD0B444" w:rsidR="005307C8" w:rsidRDefault="00CC6896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08B59539" w:rsidR="0040127A" w:rsidRPr="00771AEF" w:rsidRDefault="00260FB7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271A0A94" w:rsidR="00F451D0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078B6CBC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2B8C912" w14:textId="77777777" w:rsidR="00260FB7" w:rsidRPr="00260FB7" w:rsidRDefault="00260FB7" w:rsidP="00260FB7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60FB7">
              <w:rPr>
                <w:rFonts w:cs="Calibri"/>
                <w:iCs/>
                <w:color w:val="244062"/>
                <w:sz w:val="18"/>
                <w:szCs w:val="18"/>
              </w:rPr>
              <w:t>Commercio di gas distribuito mediante condotte</w:t>
            </w:r>
          </w:p>
          <w:p w14:paraId="379DBAFA" w14:textId="06067762" w:rsidR="0040127A" w:rsidRPr="00771AEF" w:rsidRDefault="00260FB7" w:rsidP="00260FB7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60FB7">
              <w:rPr>
                <w:rFonts w:cs="Calibri"/>
                <w:iCs/>
                <w:color w:val="244062"/>
                <w:sz w:val="18"/>
                <w:szCs w:val="18"/>
              </w:rPr>
              <w:t>Commercio energia elettrica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D3EDDF8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59723418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37AF0247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59495D18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07EEB2C3" w:rsidR="0040127A" w:rsidRPr="00771AEF" w:rsidRDefault="00260FB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157980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Con riferimento a tali attività si ricorda che in seno alla Conferenza Unificata del 16/03/2017 Stato-Regioni, tra gli emendamenti condizionanti l'intesa figura il seguente: "l) chiarire in relazione illustrativa che la nozione di servizio di interesse generale, ai sensi dell’articolo 4, comma 2, lettera a), del TU 175 del 2016 comprende anche i servizi regolati da Autorità indipendenti, di cui alla legge n. 481 del 1995". Nella relazione illustrativa di accompagnamento al decreto legislativo recante disposizioni integrative e correttive al 175/2016 all’art. 5 tra le altre è detto: “come richiesto dalla Conferenza unificata, si precisa che nella nozione di servizi di interesse generale di cui all’art. 4 del Decreto Legislativo n. 175 del 2016 rientrano anche i servizi oggetto di regolazione da parte delle Autorità indipendenti”.</w:t>
            </w:r>
          </w:p>
          <w:p w14:paraId="02E30489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Quindi l'attività di vendita del gas ed e/e, in quanto regolata dall'ARERA (Autorità indipendente ai sensi della L. 481/1995) rientra nei servizi d'interesse generale.</w:t>
            </w:r>
          </w:p>
          <w:p w14:paraId="5A31B7F0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Si richiama altresì l’orientamento giurisprudenziale emerso con la sentenza del Consiglio di Stato, Sez. V°, n. 578/2019, pubblicata in data 23/01/2019.</w:t>
            </w:r>
          </w:p>
          <w:p w14:paraId="406A468F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 xml:space="preserve">Secondo il Consiglio di Stato tali attività sono riconducibili alla categoria dei “Servizi di interesse generale” denominata “Servizi di Interesse Economico Generale” definiti dall’art. 2 co. 1 lett. i) </w:t>
            </w:r>
            <w:proofErr w:type="spellStart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 xml:space="preserve"> 175/2016 come “I servizi di Interesse Generale erogati o suscettibili di essere erogati dietro corrispettivo economico su un mercato”.</w:t>
            </w:r>
          </w:p>
          <w:p w14:paraId="4821BAA9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Infine preme evidenziare che la Società pone in essere una serie di iniziative quali:</w:t>
            </w:r>
          </w:p>
          <w:p w14:paraId="5102AFA6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6F194D5E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Attuazione codice di condotta commerciale (delibera ARERA 366/2018/R/</w:t>
            </w:r>
            <w:proofErr w:type="spellStart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com</w:t>
            </w:r>
            <w:proofErr w:type="spellEnd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);</w:t>
            </w:r>
          </w:p>
          <w:p w14:paraId="38B9F5BA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5114ADAC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rata costante: possibilità di richiedere l’attivazione di un pagamento costante durante l’anno con eventuale conguaglio finale;</w:t>
            </w:r>
          </w:p>
          <w:p w14:paraId="215775CE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334F1CE7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per i clienti business, adozione di un software che, senza attendere la richiesta del cliente finale (come previsto dalla normativa), in automatico ogni trimestre emetteva i conteggi a favore di tutti i clienti;</w:t>
            </w:r>
          </w:p>
          <w:p w14:paraId="7D14A52D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1C11B8B2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per i clienti retail iniziative di rateizzazione che non prevedono l’applicazione di interessi di mora e la concessione di tempistiche più favorevoli rispetto a quelle previste dall’Autorità;</w:t>
            </w:r>
          </w:p>
          <w:p w14:paraId="6EE73630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3716D21D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tariffe tutelate (circa 25% dei clienti);</w:t>
            </w:r>
          </w:p>
          <w:p w14:paraId="018773FD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44794F08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stretta collaborazione, particolarmente nell’anno 2022 visto il forte incremento delle tariffe e conseguentemente dei bonus sociali gas ed e/e, con cui i servizi sociali del Comune per l’informazione (facilitazione nell’ottenimento delle fasce di clienti interessati);</w:t>
            </w:r>
          </w:p>
          <w:p w14:paraId="7CD9C07E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48BA9E3B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mantenimento sportelli e nuove aperture senza l’uso di telefonate;</w:t>
            </w:r>
          </w:p>
          <w:p w14:paraId="3A550C09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-</w:t>
            </w:r>
          </w:p>
          <w:p w14:paraId="6BBB7D80" w14:textId="77777777" w:rsidR="00260FB7" w:rsidRPr="00260FB7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proofErr w:type="spellStart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add-on</w:t>
            </w:r>
            <w:proofErr w:type="spellEnd"/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>: caldaie, pompe di calore e fotovoltaico con detrazioni fiscali e dilazioni di pagamento non defiscalizzate.</w:t>
            </w:r>
          </w:p>
          <w:p w14:paraId="7EEBEFF9" w14:textId="12CA753D" w:rsidR="0040127A" w:rsidRPr="0023519A" w:rsidRDefault="00260FB7" w:rsidP="00260FB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t xml:space="preserve">Al fine di corroborare una gestione ispirata al servizio di interesse generale come peraltro ben espresso nella Sentenza n. 2037/2018 del TAR Lombardia pubblicata il 2/09/2019 in cui tra le altre emerge come l’ammissibilità di tali attività debba altresì prevedere “…condizioni differenti </w:t>
            </w:r>
            <w:r w:rsidRPr="00260FB7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rispetto a quanto avverrebbe ove le stesse fossero fornite dal mercato, …..” .</w:t>
            </w: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lastRenderedPageBreak/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D715B"/>
    <w:rsid w:val="000F6057"/>
    <w:rsid w:val="000F72E2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0FCE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0FB7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2329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012B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5C2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23D8A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45B3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6896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E6754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C4AB5B353224F64B834830A4FA46B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35C1AA-42A8-4252-A76B-427D6EAB7621}"/>
      </w:docPartPr>
      <w:docPartBody>
        <w:p w:rsidR="008337F0" w:rsidRDefault="008337F0" w:rsidP="008337F0">
          <w:pPr>
            <w:pStyle w:val="CC4AB5B353224F64B834830A4FA46B6E"/>
          </w:pPr>
          <w:r w:rsidRPr="00E553F4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0F72E2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337F0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E05C2"/>
    <w:rsid w:val="00AF3792"/>
    <w:rsid w:val="00B25D2C"/>
    <w:rsid w:val="00B400B1"/>
    <w:rsid w:val="00BD7DCB"/>
    <w:rsid w:val="00BF45B3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CC4AB5B353224F64B834830A4FA46B6E">
    <w:name w:val="CC4AB5B353224F64B834830A4FA46B6E"/>
    <w:rsid w:val="008337F0"/>
    <w:rPr>
      <w:kern w:val="2"/>
      <w:lang w:val="it-IT" w:eastAsia="it-IT"/>
      <w14:ligatures w14:val="standardContextual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2604</Words>
  <Characters>14849</Characters>
  <Application>Microsoft Office Word</Application>
  <DocSecurity>0</DocSecurity>
  <Lines>123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10</cp:revision>
  <cp:lastPrinted>2020-11-25T13:57:00Z</cp:lastPrinted>
  <dcterms:created xsi:type="dcterms:W3CDTF">2024-10-30T13:19:00Z</dcterms:created>
  <dcterms:modified xsi:type="dcterms:W3CDTF">2024-12-12T13:40:00Z</dcterms:modified>
</cp:coreProperties>
</file>